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</w:rPr>
      </w:pPr>
    </w:p>
    <w:p>
      <w:pPr>
        <w:jc w:val="center"/>
        <w:rPr>
          <w:rFonts w:ascii="Times New Roman" w:hAnsi="Times New Roman" w:cs="Times New Roman"/>
          <w:b/>
          <w:sz w:val="28"/>
        </w:rPr>
      </w:pPr>
    </w:p>
    <w:p>
      <w:pPr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b105"/>
      <w:r>
        <w:rPr>
          <w:rFonts w:ascii="Times New Roman" w:hAnsi="Times New Roman" w:cs="Times New Roman"/>
          <w:b/>
          <w:sz w:val="32"/>
          <w:szCs w:val="24"/>
        </w:rPr>
        <w:t>По</w:t>
      </w:r>
      <w:bookmarkEnd w:id="0"/>
      <w:r>
        <w:rPr>
          <w:rFonts w:ascii="Times New Roman" w:hAnsi="Times New Roman" w:cs="Times New Roman"/>
          <w:b/>
          <w:sz w:val="32"/>
          <w:szCs w:val="24"/>
        </w:rPr>
        <w:t xml:space="preserve">следовательность приведения подполей </w:t>
      </w: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в полях машиночитаемых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библиографических и авторитетных записях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4"/>
        </w:rPr>
        <w:t>Контрольные подполя</w:t>
      </w:r>
      <w:r>
        <w:rPr>
          <w:rStyle w:val="5"/>
          <w:rFonts w:ascii="Times New Roman" w:hAnsi="Times New Roman" w:cs="Times New Roman"/>
          <w:b/>
          <w:sz w:val="28"/>
          <w:szCs w:val="24"/>
        </w:rPr>
        <w:footnoteReference w:id="0"/>
      </w:r>
      <w:r>
        <w:rPr>
          <w:rFonts w:ascii="Times New Roman" w:hAnsi="Times New Roman" w:cs="Times New Roman"/>
          <w:b/>
          <w:sz w:val="28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группа подполей, каждое из которых имеет одинаковое или сходное назначение в различных полях формата.</w:t>
      </w:r>
    </w:p>
    <w:p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Контрольные подполя используются для представления различных идентификаторов, связей и источников терминов и кодов, а также уточнения формы, записанной в поле. Кроме того, контрольные подполя могут использоваться для представления ссылок к авторитетным и библиографическим записям, отдельным организациям, а также к другим полям записи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Название, описание, повторяемость и правила заполнения контрольного подполя в различных полях могут отличаться.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 использоваться только в полях, указанных ниже: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4"/>
        <w:tblW w:w="0" w:type="auto"/>
        <w:tblInd w:w="0" w:type="dxa"/>
        <w:tblBorders>
          <w:top w:val="single" w:color="C0C0C0" w:sz="6" w:space="0"/>
          <w:left w:val="single" w:color="C0C0C0" w:sz="6" w:space="0"/>
          <w:bottom w:val="single" w:color="C0C0C0" w:sz="6" w:space="0"/>
          <w:right w:val="single" w:color="C0C0C0" w:sz="6" w:space="0"/>
          <w:insideH w:val="none" w:color="auto" w:sz="0" w:space="0"/>
          <w:insideV w:val="none" w:color="auto" w:sz="0" w:space="0"/>
        </w:tblBorders>
        <w:tblLayout w:type="autofit"/>
        <w:tblCellMar>
          <w:top w:w="84" w:type="dxa"/>
          <w:left w:w="84" w:type="dxa"/>
          <w:bottom w:w="84" w:type="dxa"/>
          <w:right w:w="84" w:type="dxa"/>
        </w:tblCellMar>
      </w:tblPr>
      <w:tblGrid>
        <w:gridCol w:w="1070"/>
        <w:gridCol w:w="4786"/>
        <w:gridCol w:w="3619"/>
      </w:tblGrid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none" w:color="auto" w:sz="0" w:space="0"/>
            <w:insideV w:val="none" w:color="auto" w:sz="0" w:space="0"/>
          </w:tblBorders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Подполе</w:t>
            </w:r>
          </w:p>
        </w:tc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Примечание </w:t>
            </w:r>
            <w:r>
              <w:rPr>
                <w:rFonts w:ascii="Verdana" w:hAnsi="Verdana" w:eastAsia="Times New Roman" w:cs="Times New Roman"/>
                <w:bCs/>
                <w:i/>
                <w:color w:val="000000"/>
                <w:sz w:val="19"/>
                <w:szCs w:val="19"/>
                <w:lang w:eastAsia="ru-RU"/>
              </w:rPr>
              <w:t>(блоки, поля)</w:t>
            </w: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none" w:color="auto" w:sz="0" w:space="0"/>
            <w:insideV w:val="none" w:color="auto" w:sz="0" w:space="0"/>
          </w:tblBorders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$1</w:t>
            </w:r>
          </w:p>
        </w:tc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Данные связи</w:t>
            </w:r>
          </w:p>
        </w:tc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4--; 576; 577; 604</w:t>
            </w: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none" w:color="auto" w:sz="0" w:space="0"/>
            <w:insideV w:val="none" w:color="auto" w:sz="0" w:space="0"/>
          </w:tblBorders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 xml:space="preserve">$2 </w:t>
            </w:r>
            <w:r>
              <w:rPr>
                <w:rStyle w:val="5"/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footnoteReference w:id="1"/>
            </w:r>
          </w:p>
        </w:tc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Источник данных</w:t>
            </w:r>
          </w:p>
        </w:tc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0--; 1--; 2--; 5--; 6--; 7--; 801; 852; 886</w:t>
            </w: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none" w:color="auto" w:sz="0" w:space="0"/>
            <w:insideV w:val="none" w:color="auto" w:sz="0" w:space="0"/>
          </w:tblBorders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$3</w:t>
            </w:r>
          </w:p>
        </w:tc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Идентификатор авторитетной/нормативной записи</w:t>
            </w:r>
          </w:p>
        </w:tc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5--; 6--; 7--</w:t>
            </w: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none" w:color="auto" w:sz="0" w:space="0"/>
            <w:insideV w:val="none" w:color="auto" w:sz="0" w:space="0"/>
          </w:tblBorders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$4</w:t>
            </w:r>
          </w:p>
        </w:tc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Код отношения</w:t>
            </w:r>
          </w:p>
        </w:tc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7--</w:t>
            </w: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none" w:color="auto" w:sz="0" w:space="0"/>
            <w:insideV w:val="none" w:color="auto" w:sz="0" w:space="0"/>
          </w:tblBorders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$5</w:t>
            </w:r>
          </w:p>
        </w:tc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Организация, к которой относится поле</w:t>
            </w:r>
          </w:p>
        </w:tc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012; 2--; 3--; 5--; 6--; 7--</w:t>
            </w: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none" w:color="auto" w:sz="0" w:space="0"/>
            <w:insideV w:val="none" w:color="auto" w:sz="0" w:space="0"/>
          </w:tblBorders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$6</w:t>
            </w:r>
          </w:p>
        </w:tc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Связь между полями</w:t>
            </w:r>
          </w:p>
        </w:tc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все блоки</w:t>
            </w: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none" w:color="auto" w:sz="0" w:space="0"/>
            <w:insideV w:val="none" w:color="auto" w:sz="0" w:space="0"/>
          </w:tblBorders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$7</w:t>
            </w:r>
          </w:p>
        </w:tc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Графика поля</w:t>
            </w:r>
          </w:p>
        </w:tc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все блоки</w:t>
            </w: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none" w:color="auto" w:sz="0" w:space="0"/>
            <w:insideV w:val="none" w:color="auto" w:sz="0" w:space="0"/>
          </w:tblBorders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$8</w:t>
            </w:r>
          </w:p>
        </w:tc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Материалы, к которым относится поле</w:t>
            </w:r>
          </w:p>
        </w:tc>
        <w:tc>
          <w:tcPr>
            <w:tcW w:w="0" w:type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  <w:t>все блоки</w:t>
            </w:r>
          </w:p>
        </w:tc>
      </w:tr>
    </w:tbl>
    <w:p>
      <w:pPr>
        <w:pStyle w:val="11"/>
        <w:shd w:val="clear" w:color="auto" w:fill="FFFFFF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Контрольные подполя предшествуют или следуют за данными, к которым они относятся, в соответствии со следующими правилами.</w:t>
      </w:r>
    </w:p>
    <w:p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>
      <w:pPr>
        <w:pStyle w:val="17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БИБЛИОГРАФИЧЕСКИХ ЗАПИСЯХ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подполе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$8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должно предшествовать всем подполям в поле, за ним следуют подполя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$3, $6, $7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т.е. подполя, данные в которых могут повлиять на корректную обработку поля – подполе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$3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содержит идентификатор авторитетной записи, чтобы система могла сразу обратиться к АЗ;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$6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позволяет системе построить необходимые связи между полями;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$7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содержит сведения о графике для вывода информации на дисплей/печать. Подполя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$4, $5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выполняют иную функцию – они дополняют или уточняют сведения, содержащиеся в поле, поэтому для них определено место после остальных подполей»</w:t>
      </w:r>
      <w:r>
        <w:rPr>
          <w:rStyle w:val="5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2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1) Применение подполя $1 </w:t>
      </w:r>
    </w:p>
    <w:p>
      <w:pPr>
        <w:pStyle w:val="11"/>
        <w:shd w:val="clear" w:color="auto" w:fill="FFFFFF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461 #0</w:t>
      </w:r>
      <w:r>
        <w:rPr>
          <w:b/>
          <w:color w:val="000000"/>
          <w:sz w:val="36"/>
          <w:szCs w:val="27"/>
          <w:shd w:val="clear" w:color="auto" w:fill="FFFFFF"/>
        </w:rPr>
        <w:t>$1</w:t>
      </w:r>
      <w:r>
        <w:rPr>
          <w:color w:val="000000"/>
          <w:sz w:val="27"/>
          <w:szCs w:val="27"/>
          <w:shd w:val="clear" w:color="auto" w:fill="FFFFFF"/>
        </w:rPr>
        <w:t>2001#$aСобрание сочинений$eв 6 томах$eперевод с английского$fУильям Фолкнер$vТ. 6</w:t>
      </w:r>
      <w:r>
        <w:rPr>
          <w:b/>
          <w:color w:val="000000"/>
          <w:sz w:val="36"/>
          <w:szCs w:val="27"/>
          <w:shd w:val="clear" w:color="auto" w:fill="FFFFFF"/>
        </w:rPr>
        <w:t>$1</w:t>
      </w:r>
      <w:r>
        <w:rPr>
          <w:color w:val="000000"/>
          <w:sz w:val="27"/>
          <w:szCs w:val="27"/>
          <w:shd w:val="clear" w:color="auto" w:fill="FFFFFF"/>
        </w:rPr>
        <w:t>700#1$aФолкнер$</w:t>
      </w:r>
      <w:r>
        <w:rPr>
          <w:color w:val="000000"/>
          <w:sz w:val="27"/>
          <w:szCs w:val="27"/>
          <w:shd w:val="clear" w:color="auto" w:fill="FFFFFF"/>
          <w:lang w:val="en-US"/>
        </w:rPr>
        <w:t>b</w:t>
      </w:r>
      <w:r>
        <w:rPr>
          <w:color w:val="000000"/>
          <w:sz w:val="27"/>
          <w:szCs w:val="27"/>
          <w:shd w:val="clear" w:color="auto" w:fill="FFFFFF"/>
        </w:rPr>
        <w:t>У.$gУильям</w:t>
      </w: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2) Применение подполя $2 </w:t>
      </w:r>
    </w:p>
    <w:p>
      <w:pPr>
        <w:pStyle w:val="11"/>
        <w:shd w:val="clear" w:color="auto" w:fill="FFFFFF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Подполе $2 всегда следует непосредственно за элементом, к которому оно относится, за исключением поля 886, в котором $2 всегда является первым подполем.</w:t>
      </w:r>
    </w:p>
    <w:p>
      <w:pPr>
        <w:pStyle w:val="11"/>
        <w:shd w:val="clear" w:color="auto" w:fill="FFFFFF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686 ##$a75я031$vLBC/M</w:t>
      </w:r>
      <w:r>
        <w:rPr>
          <w:b/>
          <w:color w:val="000000"/>
          <w:sz w:val="36"/>
          <w:szCs w:val="27"/>
          <w:shd w:val="clear" w:color="auto" w:fill="FFFFFF"/>
        </w:rPr>
        <w:t>$2</w:t>
      </w:r>
      <w:r>
        <w:rPr>
          <w:color w:val="000000"/>
          <w:sz w:val="27"/>
          <w:szCs w:val="27"/>
          <w:shd w:val="clear" w:color="auto" w:fill="FFFFFF"/>
        </w:rPr>
        <w:t>rubbk</w:t>
      </w:r>
    </w:p>
    <w:p>
      <w:pPr>
        <w:pStyle w:val="11"/>
        <w:shd w:val="clear" w:color="auto" w:fill="FFFFFF"/>
        <w:jc w:val="both"/>
        <w:rPr>
          <w:rFonts w:eastAsiaTheme="minorHAnsi"/>
          <w:i/>
          <w:color w:val="000000"/>
          <w:szCs w:val="28"/>
          <w:shd w:val="clear" w:color="auto" w:fill="FFFFFF"/>
          <w:lang w:eastAsia="en-US"/>
        </w:rPr>
      </w:pPr>
      <w:r>
        <w:rPr>
          <w:rFonts w:eastAsiaTheme="minorHAnsi"/>
          <w:i/>
          <w:color w:val="000000"/>
          <w:szCs w:val="28"/>
          <w:shd w:val="clear" w:color="auto" w:fill="FFFFFF"/>
          <w:lang w:eastAsia="en-US"/>
        </w:rPr>
        <w:t>*«Этот порядок подполей зафиксирован в формате, однако не всегда соблюдается разработчиками автоматизированных систем, поскольку считается излишним. Поэтому на практике часто контрольные подполя располагаются по возрастанию, и подполе $2 оказывается в поле на первом месте, хотя это и не соответствует формату»</w:t>
      </w:r>
      <w:r>
        <w:rPr>
          <w:rStyle w:val="5"/>
          <w:rFonts w:eastAsiaTheme="minorHAnsi"/>
          <w:i/>
          <w:color w:val="000000"/>
          <w:szCs w:val="28"/>
          <w:shd w:val="clear" w:color="auto" w:fill="FFFFFF"/>
          <w:lang w:eastAsia="en-US"/>
        </w:rPr>
        <w:footnoteReference w:id="3"/>
      </w:r>
    </w:p>
    <w:p>
      <w:pPr>
        <w:pStyle w:val="11"/>
        <w:shd w:val="clear" w:color="auto" w:fill="FFFFFF"/>
        <w:jc w:val="both"/>
        <w:rPr>
          <w:b/>
          <w:i/>
          <w:color w:val="000000"/>
          <w:sz w:val="27"/>
          <w:szCs w:val="27"/>
          <w:shd w:val="clear" w:color="auto" w:fill="FFFFFF"/>
        </w:rPr>
      </w:pPr>
      <w:r>
        <w:rPr>
          <w:b/>
          <w:i/>
          <w:color w:val="000000"/>
          <w:sz w:val="27"/>
          <w:szCs w:val="27"/>
          <w:shd w:val="clear" w:color="auto" w:fill="FFFFFF"/>
        </w:rPr>
        <w:t>Например, в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b/>
          <w:i/>
          <w:color w:val="000000"/>
          <w:sz w:val="27"/>
          <w:szCs w:val="27"/>
          <w:shd w:val="clear" w:color="auto" w:fill="FFFFFF"/>
        </w:rPr>
        <w:t xml:space="preserve">полях предметных рубрик: </w:t>
      </w:r>
    </w:p>
    <w:p>
      <w:pPr>
        <w:pStyle w:val="11"/>
        <w:shd w:val="clear" w:color="auto" w:fill="FFFFFF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b/>
          <w:color w:val="000000"/>
          <w:sz w:val="36"/>
          <w:szCs w:val="27"/>
          <w:shd w:val="clear" w:color="auto" w:fill="FFFFFF"/>
        </w:rPr>
        <w:t>$2</w:t>
      </w:r>
      <w:r>
        <w:rPr>
          <w:color w:val="000000"/>
          <w:sz w:val="27"/>
          <w:szCs w:val="27"/>
          <w:shd w:val="clear" w:color="auto" w:fill="FFFFFF"/>
        </w:rPr>
        <w:t>nlr_sh$3RU\NLR\AUTH\661329989$aКометы$xЯдра$xМассоперенос$xМатематическое моделирование</w:t>
      </w: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3) Применение подполя $3 </w:t>
      </w:r>
    </w:p>
    <w:p>
      <w:pPr>
        <w:pStyle w:val="11"/>
        <w:shd w:val="clear" w:color="auto" w:fill="FFFFFF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Подполе $3 предшествуют всем другим подполям, </w:t>
      </w:r>
      <w:r>
        <w:rPr>
          <w:rFonts w:eastAsiaTheme="minorHAnsi"/>
          <w:color w:val="000000"/>
          <w:sz w:val="28"/>
          <w:szCs w:val="28"/>
          <w:u w:val="single"/>
          <w:shd w:val="clear" w:color="auto" w:fill="FFFFFF"/>
          <w:lang w:eastAsia="en-US"/>
        </w:rPr>
        <w:t>за исключением подполя $8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</w:p>
    <w:p>
      <w:pPr>
        <w:pStyle w:val="11"/>
        <w:shd w:val="clear" w:color="auto" w:fill="FFFFFF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712 02</w:t>
      </w:r>
      <w:r>
        <w:rPr>
          <w:b/>
          <w:color w:val="000000"/>
          <w:sz w:val="36"/>
          <w:szCs w:val="27"/>
          <w:shd w:val="clear" w:color="auto" w:fill="FFFFFF"/>
        </w:rPr>
        <w:t>$3</w:t>
      </w:r>
      <w:r>
        <w:rPr>
          <w:color w:val="000000"/>
          <w:sz w:val="27"/>
          <w:szCs w:val="27"/>
          <w:shd w:val="clear" w:color="auto" w:fill="FFFFFF"/>
        </w:rPr>
        <w:t>RU\NLR\AUTH\881004569402$aСевастопольский морской завод им. С. Орджоникидзе</w:t>
      </w: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4) Применение подполя $4 </w:t>
      </w:r>
    </w:p>
    <w:p>
      <w:pPr>
        <w:pStyle w:val="11"/>
        <w:shd w:val="clear" w:color="auto" w:fill="FFFFFF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Подполе $4 следует за подполями. </w:t>
      </w:r>
    </w:p>
    <w:p>
      <w:pPr>
        <w:pStyle w:val="11"/>
        <w:shd w:val="clear" w:color="auto" w:fill="FFFFFF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702 #1$aЛебедев$bА. Б.$f1955-$gАлександр Борисович</w:t>
      </w:r>
      <w:r>
        <w:rPr>
          <w:b/>
          <w:color w:val="000000"/>
          <w:sz w:val="36"/>
          <w:szCs w:val="27"/>
          <w:shd w:val="clear" w:color="auto" w:fill="FFFFFF"/>
        </w:rPr>
        <w:t>$4</w:t>
      </w:r>
      <w:r>
        <w:rPr>
          <w:color w:val="000000"/>
          <w:sz w:val="27"/>
          <w:szCs w:val="27"/>
          <w:shd w:val="clear" w:color="auto" w:fill="FFFFFF"/>
        </w:rPr>
        <w:t>440</w:t>
      </w: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5) Применение подполя $5</w:t>
      </w:r>
    </w:p>
    <w:p>
      <w:pPr>
        <w:pStyle w:val="11"/>
        <w:shd w:val="clear" w:color="auto" w:fill="FFFFFF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Подполе $5 следует за подполями. </w:t>
      </w:r>
    </w:p>
    <w:p>
      <w:pPr>
        <w:pStyle w:val="11"/>
        <w:shd w:val="clear" w:color="auto" w:fill="FFFFFF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317  ##$aС экслибрисом Библиотеки Голицына</w:t>
      </w:r>
      <w:r>
        <w:rPr>
          <w:b/>
          <w:color w:val="000000"/>
          <w:sz w:val="36"/>
          <w:szCs w:val="27"/>
          <w:shd w:val="clear" w:color="auto" w:fill="FFFFFF"/>
        </w:rPr>
        <w:t>$5</w:t>
      </w:r>
      <w:r>
        <w:rPr>
          <w:color w:val="000000"/>
          <w:sz w:val="27"/>
          <w:szCs w:val="27"/>
          <w:shd w:val="clear" w:color="auto" w:fill="FFFFFF"/>
        </w:rPr>
        <w:t>Донская ГПБ</w:t>
      </w:r>
    </w:p>
    <w:p>
      <w:pPr>
        <w:pStyle w:val="11"/>
        <w:shd w:val="clear" w:color="auto" w:fill="FFFFFF"/>
        <w:jc w:val="both"/>
        <w:rPr>
          <w:color w:val="000000"/>
          <w:sz w:val="27"/>
          <w:szCs w:val="27"/>
          <w:shd w:val="clear" w:color="auto" w:fill="FFFFFF"/>
        </w:rPr>
      </w:pP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6) Применение подполя $6</w:t>
      </w:r>
    </w:p>
    <w:p>
      <w:pPr>
        <w:pStyle w:val="11"/>
        <w:shd w:val="clear" w:color="auto" w:fill="FFFFFF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Подполе $6 предшествует всем другим подполям, </w:t>
      </w:r>
      <w:r>
        <w:rPr>
          <w:rFonts w:eastAsiaTheme="minorHAnsi"/>
          <w:color w:val="000000"/>
          <w:sz w:val="28"/>
          <w:szCs w:val="28"/>
          <w:u w:val="single"/>
          <w:shd w:val="clear" w:color="auto" w:fill="FFFFFF"/>
          <w:lang w:eastAsia="en-US"/>
        </w:rPr>
        <w:t>за исключением подполя $3 и $8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 Каждая группа этих подполей записывается в возрастающей цифровой последовательности.</w:t>
      </w:r>
    </w:p>
    <w:p>
      <w:pPr>
        <w:pStyle w:val="11"/>
        <w:shd w:val="clear" w:color="auto" w:fill="FFFFFF"/>
        <w:spacing w:line="276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700  #1</w:t>
      </w:r>
      <w:r>
        <w:rPr>
          <w:b/>
          <w:color w:val="000000"/>
          <w:sz w:val="36"/>
          <w:szCs w:val="27"/>
          <w:shd w:val="clear" w:color="auto" w:fill="FFFFFF"/>
        </w:rPr>
        <w:t>$6</w:t>
      </w:r>
      <w:r>
        <w:rPr>
          <w:color w:val="000000"/>
          <w:sz w:val="27"/>
          <w:szCs w:val="27"/>
          <w:shd w:val="clear" w:color="auto" w:fill="FFFFFF"/>
        </w:rPr>
        <w:t>z01790$aШишков$bИ. Я.$gВячеслав Яковлевич$f1873–1945</w:t>
      </w:r>
      <w:r>
        <w:rPr>
          <w:color w:val="000000"/>
          <w:sz w:val="27"/>
          <w:szCs w:val="27"/>
          <w:shd w:val="clear" w:color="auto" w:fill="FFFFFF"/>
        </w:rPr>
        <w:br w:type="textWrapping"/>
      </w:r>
      <w:r>
        <w:rPr>
          <w:color w:val="000000"/>
          <w:sz w:val="27"/>
          <w:szCs w:val="27"/>
          <w:shd w:val="clear" w:color="auto" w:fill="FFFFFF"/>
        </w:rPr>
        <w:t>790  #1</w:t>
      </w:r>
      <w:r>
        <w:rPr>
          <w:b/>
          <w:color w:val="000000"/>
          <w:sz w:val="36"/>
          <w:szCs w:val="27"/>
          <w:shd w:val="clear" w:color="auto" w:fill="FFFFFF"/>
        </w:rPr>
        <w:t>$6</w:t>
      </w:r>
      <w:r>
        <w:rPr>
          <w:color w:val="000000"/>
          <w:sz w:val="27"/>
          <w:szCs w:val="27"/>
          <w:shd w:val="clear" w:color="auto" w:fill="FFFFFF"/>
        </w:rPr>
        <w:t>z01700$aШ-ов$bВ.</w:t>
      </w:r>
    </w:p>
    <w:p>
      <w:pPr>
        <w:pStyle w:val="11"/>
        <w:shd w:val="clear" w:color="auto" w:fill="FFFFFF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700  #1</w:t>
      </w:r>
      <w:r>
        <w:rPr>
          <w:b/>
          <w:color w:val="000000"/>
          <w:sz w:val="36"/>
          <w:szCs w:val="27"/>
          <w:shd w:val="clear" w:color="auto" w:fill="FFFFFF"/>
        </w:rPr>
        <w:t>$3</w:t>
      </w:r>
      <w:r>
        <w:rPr>
          <w:color w:val="000000"/>
          <w:sz w:val="27"/>
          <w:szCs w:val="27"/>
          <w:shd w:val="clear" w:color="auto" w:fill="FFFFFF"/>
        </w:rPr>
        <w:t>RU\NLR\AUTH\7715465</w:t>
      </w:r>
      <w:r>
        <w:rPr>
          <w:b/>
          <w:color w:val="000000"/>
          <w:sz w:val="36"/>
          <w:szCs w:val="27"/>
          <w:shd w:val="clear" w:color="auto" w:fill="FFFFFF"/>
        </w:rPr>
        <w:t>$6</w:t>
      </w:r>
      <w:r>
        <w:rPr>
          <w:color w:val="000000"/>
          <w:sz w:val="27"/>
          <w:szCs w:val="27"/>
          <w:shd w:val="clear" w:color="auto" w:fill="FFFFFF"/>
        </w:rPr>
        <w:t>z22790$aДолинская$bЛ. Д.$gЛюбовь Дмитриевна</w:t>
      </w:r>
    </w:p>
    <w:p>
      <w:pPr>
        <w:pStyle w:val="11"/>
        <w:shd w:val="clear" w:color="auto" w:fill="FFFFFF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>
      <w:pPr>
        <w:pStyle w:val="11"/>
        <w:shd w:val="clear" w:color="auto" w:fill="FFFFFF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>
      <w:pPr>
        <w:pStyle w:val="11"/>
        <w:shd w:val="clear" w:color="auto" w:fill="FFFFFF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>
      <w:pPr>
        <w:pStyle w:val="11"/>
        <w:shd w:val="clear" w:color="auto" w:fill="FFFFFF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7) Применение подполя $7</w:t>
      </w:r>
    </w:p>
    <w:p>
      <w:pPr>
        <w:pStyle w:val="11"/>
        <w:shd w:val="clear" w:color="auto" w:fill="FFFFFF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Подполя $7 и $8 предшествуют всем другим подполям (например, $</w:t>
      </w:r>
      <w:r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>a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). Каждая группа этих подполей записывается в возрастающей цифровой последовательности.</w:t>
      </w:r>
    </w:p>
    <w:p>
      <w:pPr>
        <w:pStyle w:val="11"/>
        <w:shd w:val="clear" w:color="auto" w:fill="FFFFFF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Подполе $7 обычно следует за подполем $6, кроме тех случаев, когда отсутствует параллельное поле и, следовательно, подполе $6.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#1</w:t>
      </w:r>
      <w:r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$7</w:t>
      </w:r>
      <w:r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  <w:lang w:val="en-US"/>
        </w:rPr>
        <w:t>ba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$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aPushkin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$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.$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1799-1837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#0$6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$7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$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aAgapetus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$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cdiaconus</w:t>
      </w:r>
    </w:p>
    <w:p>
      <w:pPr>
        <w:pStyle w:val="11"/>
        <w:shd w:val="clear" w:color="auto" w:fill="FFFFFF"/>
        <w:jc w:val="both"/>
        <w:rPr>
          <w:color w:val="000000"/>
          <w:sz w:val="27"/>
          <w:szCs w:val="27"/>
          <w:shd w:val="clear" w:color="auto" w:fill="FFFFFF"/>
        </w:rPr>
      </w:pPr>
    </w:p>
    <w:p>
      <w:pPr>
        <w:pStyle w:val="11"/>
        <w:shd w:val="clear" w:color="auto" w:fill="FFFFFF"/>
        <w:jc w:val="both"/>
        <w:rPr>
          <w:color w:val="000000"/>
          <w:sz w:val="27"/>
          <w:szCs w:val="27"/>
          <w:shd w:val="clear" w:color="auto" w:fill="FFFFFF"/>
        </w:rPr>
      </w:pPr>
    </w:p>
    <w:p>
      <w:pPr>
        <w:pStyle w:val="11"/>
        <w:numPr>
          <w:ilvl w:val="0"/>
          <w:numId w:val="1"/>
        </w:numPr>
        <w:shd w:val="clear" w:color="auto" w:fill="FFFFFF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«В ФОРМАТЕ ДЛЯ АВТОРИТЕТНЫХ ДАННЫХ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>
      <w:pPr>
        <w:pStyle w:val="11"/>
        <w:shd w:val="clear" w:color="auto" w:fill="FFFFFF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расположение контрольных подполей то же, что и в библиографических записях – в начале поля указываются подполя, обеспечивающие корректную обработку данных в поле, а подполя, уточняющие и характеризующие данные в поле (или в отдельных подполях), указываются после элемента, к которому они относятся»</w:t>
      </w:r>
      <w:r>
        <w:rPr>
          <w:rStyle w:val="5"/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footnoteReference w:id="4"/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1) Применение подполя $5</w:t>
      </w:r>
    </w:p>
    <w:p>
      <w:pPr>
        <w:pStyle w:val="11"/>
        <w:shd w:val="clear" w:color="auto" w:fill="FFFFFF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Подполе $5 предшествуют всем другим подполям, </w:t>
      </w:r>
      <w:r>
        <w:rPr>
          <w:rFonts w:eastAsiaTheme="minorHAnsi"/>
          <w:color w:val="000000"/>
          <w:sz w:val="28"/>
          <w:szCs w:val="28"/>
          <w:u w:val="single"/>
          <w:shd w:val="clear" w:color="auto" w:fill="FFFFFF"/>
          <w:lang w:eastAsia="en-US"/>
        </w:rPr>
        <w:t>за исключением подполя $3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</w:p>
    <w:p>
      <w:pPr>
        <w:pStyle w:val="11"/>
        <w:shd w:val="clear" w:color="auto" w:fill="FFFFFF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500 #1</w:t>
      </w:r>
      <w:r>
        <w:rPr>
          <w:b/>
          <w:color w:val="000000"/>
          <w:sz w:val="36"/>
          <w:szCs w:val="27"/>
          <w:shd w:val="clear" w:color="auto" w:fill="FFFFFF"/>
        </w:rPr>
        <w:t>$5</w:t>
      </w:r>
      <w:r>
        <w:rPr>
          <w:color w:val="000000"/>
          <w:sz w:val="27"/>
          <w:szCs w:val="27"/>
          <w:shd w:val="clear" w:color="auto" w:fill="FFFFFF"/>
        </w:rPr>
        <w:t>xxxxa$aКашин$bГ.$4230</w:t>
      </w:r>
    </w:p>
    <w:p>
      <w:pPr>
        <w:pStyle w:val="11"/>
        <w:shd w:val="clear" w:color="auto" w:fill="FFFFFF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500 #1$3FRBNF138930724</w:t>
      </w:r>
      <w:r>
        <w:rPr>
          <w:b/>
          <w:color w:val="000000"/>
          <w:sz w:val="36"/>
          <w:szCs w:val="27"/>
          <w:shd w:val="clear" w:color="auto" w:fill="FFFFFF"/>
        </w:rPr>
        <w:t>$5</w:t>
      </w:r>
      <w:r>
        <w:rPr>
          <w:color w:val="000000"/>
          <w:sz w:val="27"/>
          <w:szCs w:val="27"/>
          <w:shd w:val="clear" w:color="auto" w:fill="FFFFFF"/>
        </w:rPr>
        <w:t>xxxxa$aDebussy$bClaude$f1862-1918$4230</w:t>
      </w: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>
      <w:headerReference r:id="rId5" w:type="default"/>
      <w:footerReference r:id="rId6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pPr>
        <w:spacing w:before="0" w:after="0" w:line="276" w:lineRule="auto"/>
      </w:pPr>
      <w:r>
        <w:separator/>
      </w:r>
    </w:p>
  </w:footnote>
  <w:footnote w:type="continuationSeparator" w:id="11">
    <w:p>
      <w:pPr>
        <w:spacing w:before="0" w:after="0" w:line="276" w:lineRule="auto"/>
      </w:pPr>
      <w:r>
        <w:continuationSeparator/>
      </w:r>
    </w:p>
  </w:footnote>
  <w:footnote w:id="0">
    <w:p>
      <w:pPr>
        <w:pStyle w:val="2"/>
        <w:shd w:val="clear" w:color="auto" w:fill="FFFFFF"/>
        <w:spacing w:before="0" w:beforeAutospacing="0" w:after="0" w:afterAutospacing="0"/>
      </w:pPr>
      <w:r>
        <w:rPr>
          <w:rStyle w:val="5"/>
          <w:rFonts w:asciiTheme="minorHAnsi" w:hAnsiTheme="minorHAnsi" w:eastAsiaTheme="minorHAnsi" w:cstheme="minorBidi"/>
          <w:b w:val="0"/>
          <w:bCs w:val="0"/>
          <w:sz w:val="22"/>
          <w:szCs w:val="22"/>
          <w:lang w:eastAsia="en-US"/>
        </w:rPr>
        <w:footnoteRef/>
      </w:r>
      <w:r>
        <w:rPr>
          <w:rFonts w:ascii="Verdana" w:hAnsi="Verdana"/>
          <w:b w:val="0"/>
          <w:bCs w:val="0"/>
          <w:color w:val="000000"/>
          <w:sz w:val="16"/>
          <w:szCs w:val="19"/>
        </w:rPr>
        <w:t xml:space="preserve"> российский коммуникативный формат представления библиографических записей в машиночитаемой форме</w:t>
      </w:r>
      <w:r>
        <w:rPr>
          <w:rFonts w:ascii="Verdana" w:hAnsi="Verdana"/>
          <w:b w:val="0"/>
          <w:bCs w:val="0"/>
          <w:color w:val="000000"/>
          <w:sz w:val="16"/>
          <w:szCs w:val="19"/>
        </w:rPr>
        <w:br w:type="textWrapping"/>
      </w:r>
      <w:r>
        <w:rPr>
          <w:rFonts w:ascii="Verdana" w:hAnsi="Verdana"/>
          <w:b w:val="0"/>
          <w:bCs w:val="0"/>
          <w:color w:val="000000"/>
          <w:sz w:val="16"/>
          <w:szCs w:val="19"/>
        </w:rPr>
        <w:t>(российская версия unimarc)</w:t>
      </w:r>
    </w:p>
  </w:footnote>
  <w:footnote w:id="1">
    <w:p>
      <w:pPr>
        <w:shd w:val="clear" w:color="auto" w:fill="FFFFFF"/>
        <w:spacing w:after="0" w:line="240" w:lineRule="auto"/>
        <w:jc w:val="both"/>
        <w:rPr>
          <w:rFonts w:ascii="Verdana" w:hAnsi="Verdana" w:eastAsia="Times New Roman" w:cs="Times New Roman"/>
          <w:color w:val="000000"/>
          <w:sz w:val="19"/>
          <w:szCs w:val="19"/>
          <w:lang w:eastAsia="ru-RU"/>
        </w:rPr>
      </w:pPr>
      <w:r>
        <w:rPr>
          <w:rStyle w:val="5"/>
        </w:rPr>
        <w:footnoteRef/>
      </w:r>
      <w:r>
        <w:t xml:space="preserve"> </w:t>
      </w:r>
      <w:r>
        <w:rPr>
          <w:rFonts w:ascii="Verdana" w:hAnsi="Verdana" w:eastAsia="Times New Roman" w:cs="Times New Roman"/>
          <w:color w:val="000000"/>
          <w:sz w:val="16"/>
          <w:szCs w:val="19"/>
          <w:lang w:eastAsia="ru-RU"/>
        </w:rPr>
        <w:t>в полях, не включенных в таблицу, подполе $2 не является контрольным подполем</w:t>
      </w:r>
    </w:p>
  </w:footnote>
  <w:footnote w:id="2">
    <w:p>
      <w:pPr>
        <w:pStyle w:val="8"/>
      </w:pPr>
      <w:r>
        <w:rPr>
          <w:rStyle w:val="5"/>
        </w:rPr>
        <w:footnoteRef/>
      </w:r>
      <w:r>
        <w:t xml:space="preserve"> ответ экспертов на форуме Либнет от 20.10.2022</w:t>
      </w:r>
    </w:p>
  </w:footnote>
  <w:footnote w:id="3">
    <w:p>
      <w:pPr>
        <w:pStyle w:val="8"/>
      </w:pPr>
      <w:r>
        <w:rPr>
          <w:rStyle w:val="5"/>
        </w:rPr>
        <w:footnoteRef/>
      </w:r>
      <w:r>
        <w:t xml:space="preserve"> то же</w:t>
      </w:r>
    </w:p>
  </w:footnote>
  <w:footnote w:id="4">
    <w:p>
      <w:pPr>
        <w:pStyle w:val="8"/>
      </w:pPr>
      <w:r>
        <w:rPr>
          <w:rStyle w:val="5"/>
        </w:rPr>
        <w:footnoteRef/>
      </w:r>
      <w:r>
        <w:t xml:space="preserve"> ответ экспертов на форуме Либнет от 20.10.2022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bookmarkStart w:id="1" w:name="_GoBack"/>
    <w:bookmarkEnd w:id="1"/>
    <w:r>
      <w:rPr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3003550</wp:posOffset>
              </wp:positionH>
              <wp:positionV relativeFrom="topMargin">
                <wp:posOffset>114300</wp:posOffset>
              </wp:positionV>
              <wp:extent cx="4418330" cy="490220"/>
              <wp:effectExtent l="0" t="0" r="20320" b="24130"/>
              <wp:wrapNone/>
              <wp:docPr id="225" name="Группа 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8381" cy="49022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637" y="360"/>
                          <a:ext cx="9169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txbx>
                        <w:txbxContent>
                          <w:p>
                            <w:pPr>
                              <w:pStyle w:val="9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  <w:alias w:val="Название"/>
                                <w:id w:val="538682326"/>
          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</w:sdtEndPr>
                              <w:sdtContent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МЕТОДИЧЕСКИЕ</w:t>
                                </w:r>
                                <w:r>
                                  <w:rPr>
                                    <w:rFonts w:ascii="Bodoni MT Black" w:hAnsi="Bodoni MT Black"/>
                                    <w:i/>
                                    <w:sz w:val="1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РЕКОМЕНДАЦИИ</w:t>
                                </w:r>
                              </w:sdtContent>
                            </w:sdt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9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Центра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каталогизации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документов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библиотечного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фонда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ДГПБ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10004" y="360"/>
                          <a:ext cx="173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txbx>
                        <w:txbxContent>
                          <w:p>
                            <w:pPr>
                              <w:pStyle w:val="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октябрь, </w:t>
                            </w:r>
                          </w:p>
                          <w:p>
                            <w:pPr>
                              <w:pStyle w:val="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2022, №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Группа 196" o:spid="_x0000_s1026" o:spt="203" style="position:absolute;left:0pt;margin-left:236.5pt;margin-top:9pt;height:38.6pt;width:347.9pt;mso-position-horizontal-relative:page;mso-position-vertical-relative:page;z-index:251659264;mso-width-relative:page;mso-height-relative:page;" coordorigin="330,308" coordsize="11586,835" o:allowincell="f" o:gfxdata="UEsDBAoAAAAAAIdO4kAAAAAAAAAAAAAAAAAEAAAAZHJzL1BLAwQUAAAACACHTuJAu0ffGtoAAAAK&#10;AQAADwAAAGRycy9kb3ducmV2LnhtbE2PQUvDQBCF74L/YRnBm91sa2uM2RQp6qkUbAXxNs1Ok9Ds&#10;bshuk/bfOz3paXi8x5v35cuzbcVAfWi806AmCQhypTeNqzR87d4fUhAhojPYekcaLhRgWdze5JgZ&#10;P7pPGraxElziQoYa6hi7TMpQ1mQxTHxHjr2D7y1Gln0lTY8jl9tWTpNkIS02jj/U2NGqpvK4PVkN&#10;HyOOrzP1NqyPh9XlZzfffK8VaX1/p5IXEJHO8S8M1/k8HQretPcnZ4JoNTw+zZglspHyvQbUImWY&#10;vYbn+RRkkcv/CMUvUEsDBBQAAAAIAIdO4kBMmW1JMAMAAC0KAAAOAAAAZHJzL2Uyb0RvYy54bWzt&#10;VltuGyEU/a/UPSD+m3n4Pco4SpyHKvURNe0CMMM81BmggDNOvyp1Cd1Id9AtJDvqBcaOZTdR2ij5&#10;qi3ZwwCXc889HNg/WDY1umRKV4KnONoLMWKciqziRYo/fTx9NcZIG8IzUgvOUnzFND6Yvnyx38qE&#10;xaIUdcYUgiBcJ61McWmMTIJA05I1RO8JyTh05kI1xEBTFUGmSAvRmzqIw3AYtEJlUgnKtIa3x74T&#10;dxHVQwKKPK8oOxZ00TBufFTFamIgJV1WUuOpQ5vnjJr3ea6ZQXWKIVPjfmEReJ7b32C6T5JCEVlW&#10;tINAHgJhK6eGVBwWXYc6Joaghap2QjUVVUKL3OxR0QQ+EccIZBGFW9ycKbGQLpciaQu5Jh0KtcX6&#10;P4el7y7PFaqyFMfxACNOGij59Y+bbzffr3/B9yeKJkPLUiuLBAafKXkhz1X3ovAtm/gyV439h5TQ&#10;0vF7teaXLQ2i8LLfj8a9cYQRhb7+JIzjrgC0hCrZab0eFAY6e+HYl4aWJ93kKBqMh37quDewvcFq&#10;1cCCW2NpJQhT37KlH8fWRUkkc0XQloA1W4DFs/UBREZ4UTOgauSpciMtT5YRLd8I+lkjLmYljGOH&#10;Som2ZCQDYJHLwyKG0H6CbWiYiubtW5FBNcjCCKetLYqHvZHnatixuKJ5Eg0nnqiRJ3hNFEmk0uaM&#10;iQbZhxQrwO5ik8s32nhOV0McdlFX2WlV166hivmsVuiSwGY66Q9n4aGbWy8aQOpfjwZh6ODAmtqP&#10;d4XSt4GgWj5DKyqdmOV86eSkk7nIriBxJfw2BZOCh1Korxi1sEVTrL8siGIY1a85kDeJ+n27p12j&#10;P7DJIrXZM9/sIZxCqBRTozDyjZnxTrCQqipKWCty+XBxCJTnlePDQvS4IA/bAGl54M+gMSjwrsbc&#10;zrBI1pJ5Oo1FUM3+n1UWjXrxk6tscnR0NJh0m/2/huDUu/OwuMun4Djf1ZCj9Jk0tOPpK5+6x9H/&#10;2qi4sC4FPkKSmqMWtnI8AiO638NA3PDZVRdJmsrAJaeumhSPNwfVvHMB69DeBp7FtMzjLcsdknCL&#10;cHbc3XjsNWWz7ZK7veVN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C7R98a2gAAAAoBAAAPAAAA&#10;AAAAAAEAIAAAACIAAABkcnMvZG93bnJldi54bWxQSwECFAAUAAAACACHTuJATJltSTADAAAtCgAA&#10;DgAAAAAAAAABACAAAAApAQAAZHJzL2Uyb0RvYy54bWxQSwUGAAAAAAYABgBZAQAAywYAAAAA&#10;">
              <o:lock v:ext="edit" aspectratio="f"/>
              <v:rect id="Rectangle 197" o:spid="_x0000_s1026" o:spt="1" style="position:absolute;left:637;top:360;height:720;width:9169;v-text-anchor:middle;" fillcolor="#E46C0A [2409]" filled="t" stroked="f" coordsize="21600,21600" o:gfxdata="UEsDBAoAAAAAAIdO4kAAAAAAAAAAAAAAAAAEAAAAZHJzL1BLAwQUAAAACACHTuJAgkXytboAAADc&#10;AAAADwAAAGRycy9kb3ducmV2LnhtbEWPzarCMBSE94LvEI7gTlOLyLUaXYiiuLO3D3BIjk2xOSlN&#10;/LlvfyMILoeZ+YZZb1+uFQ/qQ+NZwWyagSDW3jRcK6h+D5MfECEiG2w9k4I/CrDdDAdrLIx/8oUe&#10;ZaxFgnAoUIGNsSukDNqSwzD1HXHyrr53GJPsa2l6fCa4a2WeZQvpsOG0YLGjnSV9K+9Owb3i48m2&#10;S91otzu7fTnf5+VcqfFolq1ARHrFb/jTPhkFeb6A95l0BOT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RfK1ugAAANwA&#10;AAAPAAAAAAAAAAEAIAAAACIAAABkcnMvZG93bnJldi54bWxQSwECFAAUAAAACACHTuJAMy8FnjsA&#10;AAA5AAAAEAAAAAAAAAABACAAAAAJAQAAZHJzL3NoYXBleG1sLnhtbFBLBQYAAAAABgAGAFsBAACz&#10;Aw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sdt>
                        <w:sdt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  <w:alias w:val="Название"/>
                          <w:id w:val="538682326"/>
    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</w:sdtEndPr>
                        <w:sdtContent>
                          <w:r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МЕТОДИЧЕСКИЕ</w:t>
                          </w:r>
                          <w:r>
                            <w:rPr>
                              <w:rFonts w:ascii="Bodoni MT Black" w:hAnsi="Bodoni MT Black"/>
                              <w:i/>
                              <w:sz w:val="1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РЕКОМЕНДАЦИИ</w:t>
                          </w:r>
                        </w:sdtContent>
                      </w:sdt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pStyle w:val="9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Центра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каталогизации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документов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библиотечного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фонда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ДГПБ</w:t>
                      </w:r>
                    </w:p>
                  </w:txbxContent>
                </v:textbox>
              </v:rect>
              <v:rect id="Rectangle 198" o:spid="_x0000_s1026" o:spt="1" style="position:absolute;left:10004;top:360;height:720;width:1732;v-text-anchor:middle;" fillcolor="#9BBB59 [3206]" filled="t" stroked="f" coordsize="21600,21600" o:gfxdata="UEsDBAoAAAAAAIdO4kAAAAAAAAAAAAAAAAAEAAAAZHJzL1BLAwQUAAAACACHTuJAkhg8usAAAADc&#10;AAAADwAAAGRycy9kb3ducmV2LnhtbEWP3WrCQBSE7wt9h+UI3kjdJGgrqatIq1IQ6k/b+0P2mIRm&#10;z4bsGqNP7wqFXg4z8w0znXemEi01rrSsIB5GIIgzq0vOFXx/rZ4mIJxH1lhZJgUXcjCfPT5MMdX2&#10;zHtqDz4XAcIuRQWF93UqpcsKMuiGtiYO3tE2Bn2QTS51g+cAN5VMouhZGiw5LBRY01tB2e/hZBQs&#10;R+14272vF/GAPse7zeBngddKqX4vjl5BeOr8f/iv/aEVJMkL3M+EIyBn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GDy6&#10;wAAAANwAAAAPAAAAAAAAAAEAIAAAACIAAABkcnMvZG93bnJldi54bWxQSwECFAAUAAAACACHTuJA&#10;My8FnjsAAAA5AAAAEAAAAAAAAAABACAAAAAPAQAAZHJzL3NoYXBleG1sLnhtbFBLBQYAAAAABgAG&#10;AFsBAAC5Aw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октябрь, </w:t>
                      </w:r>
                    </w:p>
                    <w:p>
                      <w:pPr>
                        <w:pStyle w:val="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2022, № 6</w:t>
                      </w:r>
                    </w:p>
                  </w:txbxContent>
                </v:textbox>
              </v:rect>
              <v:rect id="Rectangle 199" o:spid="_x0000_s1026" o:spt="1" style="position:absolute;left:330;top:308;height:835;width:11586;" filled="f" stroked="t" coordsize="21600,21600" o:gfxdata="UEsDBAoAAAAAAIdO4kAAAAAAAAAAAAAAAAAEAAAAZHJzL1BLAwQUAAAACACHTuJAk3tF9LsAAADc&#10;AAAADwAAAGRycy9kb3ducmV2LnhtbEVPy4rCMBTdD/gP4QqzGTRpZxStRheCMLgQRkVcXpprW2xu&#10;ShJff28WAy4P5z1fPmwrbuRD41hDNlQgiEtnGq40HPbrwQREiMgGW8ek4UkBlovexxwL4+78R7dd&#10;rEQK4VCghjrGrpAylDVZDEPXESfu7LzFmKCvpPF4T+G2lblSY2mx4dRQY0ermsrL7mo1bH5G6hSP&#10;mdtPLt/TrW+/juPNVevPfqZmICI94lv87/41GvI8rU1n0hG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3tF9LsAAADc&#10;AAAADwAAAAAAAAABACAAAAAiAAAAZHJzL2Rvd25yZXYueG1sUEsBAhQAFAAAAAgAh07iQDMvBZ47&#10;AAAAOQAAABAAAAAAAAAAAQAgAAAACgEAAGRycy9zaGFwZXhtbC54bWxQSwUGAAAAAAYABgBbAQAA&#10;tAMAAAAA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92705"/>
    <w:multiLevelType w:val="multilevel"/>
    <w:tmpl w:val="17792705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10"/>
    <w:footnote w:id="1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E8"/>
    <w:rsid w:val="0000760E"/>
    <w:rsid w:val="0001156F"/>
    <w:rsid w:val="00011F1B"/>
    <w:rsid w:val="00013C36"/>
    <w:rsid w:val="0002442A"/>
    <w:rsid w:val="000440B6"/>
    <w:rsid w:val="00051048"/>
    <w:rsid w:val="000525C3"/>
    <w:rsid w:val="0008146A"/>
    <w:rsid w:val="00085EE8"/>
    <w:rsid w:val="00087FAE"/>
    <w:rsid w:val="000A5CF1"/>
    <w:rsid w:val="000C4847"/>
    <w:rsid w:val="000E1CCE"/>
    <w:rsid w:val="000F5969"/>
    <w:rsid w:val="001354A8"/>
    <w:rsid w:val="00150606"/>
    <w:rsid w:val="00164253"/>
    <w:rsid w:val="001654B8"/>
    <w:rsid w:val="00165612"/>
    <w:rsid w:val="0017315A"/>
    <w:rsid w:val="0017674D"/>
    <w:rsid w:val="001927A0"/>
    <w:rsid w:val="001A3303"/>
    <w:rsid w:val="001B71E7"/>
    <w:rsid w:val="001C32AC"/>
    <w:rsid w:val="001C77B0"/>
    <w:rsid w:val="001D1669"/>
    <w:rsid w:val="001D617C"/>
    <w:rsid w:val="001D656E"/>
    <w:rsid w:val="0022673A"/>
    <w:rsid w:val="00254C97"/>
    <w:rsid w:val="00281A14"/>
    <w:rsid w:val="0028753C"/>
    <w:rsid w:val="002C6D9E"/>
    <w:rsid w:val="002D7642"/>
    <w:rsid w:val="002E137F"/>
    <w:rsid w:val="002F51E2"/>
    <w:rsid w:val="003050BD"/>
    <w:rsid w:val="003232CE"/>
    <w:rsid w:val="00326308"/>
    <w:rsid w:val="00341B06"/>
    <w:rsid w:val="003437E6"/>
    <w:rsid w:val="003528D0"/>
    <w:rsid w:val="003D56FD"/>
    <w:rsid w:val="00414CF2"/>
    <w:rsid w:val="00417943"/>
    <w:rsid w:val="004276C5"/>
    <w:rsid w:val="00437E83"/>
    <w:rsid w:val="004701E9"/>
    <w:rsid w:val="00471008"/>
    <w:rsid w:val="00477D00"/>
    <w:rsid w:val="004874D6"/>
    <w:rsid w:val="004D4A37"/>
    <w:rsid w:val="004F44BF"/>
    <w:rsid w:val="00512D68"/>
    <w:rsid w:val="00533514"/>
    <w:rsid w:val="0053665D"/>
    <w:rsid w:val="005422EE"/>
    <w:rsid w:val="00550A52"/>
    <w:rsid w:val="00563E9E"/>
    <w:rsid w:val="005734FA"/>
    <w:rsid w:val="0058464F"/>
    <w:rsid w:val="0059380E"/>
    <w:rsid w:val="005A3014"/>
    <w:rsid w:val="005A676A"/>
    <w:rsid w:val="005C186D"/>
    <w:rsid w:val="005D7055"/>
    <w:rsid w:val="005D7AD7"/>
    <w:rsid w:val="005E1338"/>
    <w:rsid w:val="005E1918"/>
    <w:rsid w:val="005E3F54"/>
    <w:rsid w:val="005F34CB"/>
    <w:rsid w:val="00634221"/>
    <w:rsid w:val="00640F57"/>
    <w:rsid w:val="00655861"/>
    <w:rsid w:val="00657A12"/>
    <w:rsid w:val="00672549"/>
    <w:rsid w:val="006A2B0A"/>
    <w:rsid w:val="006B3007"/>
    <w:rsid w:val="006B45DE"/>
    <w:rsid w:val="006C4789"/>
    <w:rsid w:val="006D13E8"/>
    <w:rsid w:val="006F2E6F"/>
    <w:rsid w:val="006F4F8D"/>
    <w:rsid w:val="0073653D"/>
    <w:rsid w:val="00746821"/>
    <w:rsid w:val="007527A9"/>
    <w:rsid w:val="00773E80"/>
    <w:rsid w:val="00782A4A"/>
    <w:rsid w:val="007947A3"/>
    <w:rsid w:val="007D7573"/>
    <w:rsid w:val="007F4D2A"/>
    <w:rsid w:val="00823B13"/>
    <w:rsid w:val="00855B75"/>
    <w:rsid w:val="00880F90"/>
    <w:rsid w:val="008A7508"/>
    <w:rsid w:val="008B21FA"/>
    <w:rsid w:val="008B5ADA"/>
    <w:rsid w:val="008F778E"/>
    <w:rsid w:val="0090113F"/>
    <w:rsid w:val="009141C1"/>
    <w:rsid w:val="00916E2A"/>
    <w:rsid w:val="00924986"/>
    <w:rsid w:val="00950BDF"/>
    <w:rsid w:val="00951CFE"/>
    <w:rsid w:val="0097576F"/>
    <w:rsid w:val="009807C1"/>
    <w:rsid w:val="009A63E4"/>
    <w:rsid w:val="009C11A5"/>
    <w:rsid w:val="009C2420"/>
    <w:rsid w:val="009C7B49"/>
    <w:rsid w:val="009D06B3"/>
    <w:rsid w:val="00A22656"/>
    <w:rsid w:val="00A24DDC"/>
    <w:rsid w:val="00A2552E"/>
    <w:rsid w:val="00A31C8C"/>
    <w:rsid w:val="00A373D9"/>
    <w:rsid w:val="00A4733E"/>
    <w:rsid w:val="00A8404C"/>
    <w:rsid w:val="00A9283D"/>
    <w:rsid w:val="00AA3D75"/>
    <w:rsid w:val="00AA41F4"/>
    <w:rsid w:val="00AD1CAA"/>
    <w:rsid w:val="00AE3E91"/>
    <w:rsid w:val="00B02DD6"/>
    <w:rsid w:val="00B12696"/>
    <w:rsid w:val="00B26790"/>
    <w:rsid w:val="00B30F26"/>
    <w:rsid w:val="00B3323B"/>
    <w:rsid w:val="00B432B5"/>
    <w:rsid w:val="00B46F28"/>
    <w:rsid w:val="00B81AB3"/>
    <w:rsid w:val="00B94F69"/>
    <w:rsid w:val="00B9557A"/>
    <w:rsid w:val="00B9782E"/>
    <w:rsid w:val="00BB09E1"/>
    <w:rsid w:val="00BD53C8"/>
    <w:rsid w:val="00BE1775"/>
    <w:rsid w:val="00C20FB1"/>
    <w:rsid w:val="00C41355"/>
    <w:rsid w:val="00C52DE0"/>
    <w:rsid w:val="00C804ED"/>
    <w:rsid w:val="00CE0008"/>
    <w:rsid w:val="00CE529A"/>
    <w:rsid w:val="00CF4713"/>
    <w:rsid w:val="00D05FDF"/>
    <w:rsid w:val="00D3453C"/>
    <w:rsid w:val="00D40CE7"/>
    <w:rsid w:val="00D40D66"/>
    <w:rsid w:val="00D479DC"/>
    <w:rsid w:val="00D92DFD"/>
    <w:rsid w:val="00DA5865"/>
    <w:rsid w:val="00DB3FEC"/>
    <w:rsid w:val="00DC4263"/>
    <w:rsid w:val="00DC784B"/>
    <w:rsid w:val="00DD6ED4"/>
    <w:rsid w:val="00E20C06"/>
    <w:rsid w:val="00E278EC"/>
    <w:rsid w:val="00E33B94"/>
    <w:rsid w:val="00E46357"/>
    <w:rsid w:val="00E55899"/>
    <w:rsid w:val="00E76D51"/>
    <w:rsid w:val="00E8194A"/>
    <w:rsid w:val="00E933D8"/>
    <w:rsid w:val="00EA3D5E"/>
    <w:rsid w:val="00EA5483"/>
    <w:rsid w:val="00EC711E"/>
    <w:rsid w:val="00EE365E"/>
    <w:rsid w:val="00F04730"/>
    <w:rsid w:val="00F12DDC"/>
    <w:rsid w:val="00F25ABC"/>
    <w:rsid w:val="00F32141"/>
    <w:rsid w:val="00F503D0"/>
    <w:rsid w:val="00F531AC"/>
    <w:rsid w:val="00F67ABD"/>
    <w:rsid w:val="00F90B4A"/>
    <w:rsid w:val="00F93112"/>
    <w:rsid w:val="00FD2188"/>
    <w:rsid w:val="00FF3C6A"/>
    <w:rsid w:val="00FF4D1A"/>
    <w:rsid w:val="0CD1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2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Текст сноски Знак"/>
    <w:basedOn w:val="3"/>
    <w:link w:val="8"/>
    <w:semiHidden/>
    <w:qFormat/>
    <w:uiPriority w:val="99"/>
    <w:rPr>
      <w:sz w:val="20"/>
      <w:szCs w:val="20"/>
    </w:rPr>
  </w:style>
  <w:style w:type="character" w:customStyle="1" w:styleId="14">
    <w:name w:val="Верхний колонтитул Знак"/>
    <w:basedOn w:val="3"/>
    <w:link w:val="9"/>
    <w:qFormat/>
    <w:uiPriority w:val="99"/>
  </w:style>
  <w:style w:type="character" w:customStyle="1" w:styleId="15">
    <w:name w:val="Нижний колонтитул Знак"/>
    <w:basedOn w:val="3"/>
    <w:link w:val="10"/>
    <w:uiPriority w:val="99"/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jsgrdq"/>
    <w:basedOn w:val="3"/>
    <w:uiPriority w:val="0"/>
  </w:style>
  <w:style w:type="paragraph" w:customStyle="1" w:styleId="19">
    <w:name w:val="_04xlp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0D63C1-65FF-423E-AA1C-80020FB40F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651</Words>
  <Characters>3716</Characters>
  <Lines>30</Lines>
  <Paragraphs>8</Paragraphs>
  <TotalTime>1453</TotalTime>
  <ScaleCrop>false</ScaleCrop>
  <LinksUpToDate>false</LinksUpToDate>
  <CharactersWithSpaces>4359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2020-11-25T07:49:00Z</dcterms:created>
  <dc:creator>Светлана</dc:creator>
  <cp:lastModifiedBy>ИвкинаСВ</cp:lastModifiedBy>
  <cp:lastPrinted>2022-08-15T12:39:00Z</cp:lastPrinted>
  <dcterms:modified xsi:type="dcterms:W3CDTF">2022-10-27T10:45:00Z</dcterms:modified>
  <dc:title>МЕТОДИЧЕСКИЕ РЕКОМЕНДАЦИИ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837E6FF42D58402AB5008D9C8A699A00</vt:lpwstr>
  </property>
</Properties>
</file>